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C43DBE">
      <w:pPr>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textAlignment w:val="auto"/>
        <w:rPr>
          <w:rFonts w:hint="eastAsia" w:ascii="黑体" w:hAnsi="黑体" w:eastAsia="黑体" w:cs="黑体"/>
          <w:lang w:val="en-US" w:eastAsia="zh-CN"/>
        </w:rPr>
      </w:pPr>
      <w:bookmarkStart w:id="0" w:name="_GoBack"/>
      <w:bookmarkEnd w:id="0"/>
      <w:r>
        <w:rPr>
          <w:rFonts w:hint="eastAsia" w:ascii="黑体" w:hAnsi="黑体" w:eastAsia="黑体" w:cs="黑体"/>
          <w:lang w:val="en-US" w:eastAsia="zh-CN"/>
        </w:rPr>
        <w:t>附件</w:t>
      </w:r>
      <w:r>
        <w:rPr>
          <w:rFonts w:hint="eastAsia" w:ascii="Times New Roman" w:hAnsi="Times New Roman" w:eastAsia="黑体" w:cs="黑体"/>
          <w:lang w:val="en-US" w:eastAsia="zh-CN"/>
        </w:rPr>
        <w:t>1</w:t>
      </w:r>
    </w:p>
    <w:p w14:paraId="66C99716">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1310A940">
      <w:pPr>
        <w:keepNext w:val="0"/>
        <w:keepLines w:val="0"/>
        <w:pageBreakBefore w:val="0"/>
        <w:widowControl w:val="0"/>
        <w:kinsoku/>
        <w:wordWrap/>
        <w:overflowPunct/>
        <w:topLinePunct w:val="0"/>
        <w:autoSpaceDE/>
        <w:autoSpaceDN/>
        <w:bidi w:val="0"/>
        <w:adjustRightInd w:val="0"/>
        <w:snapToGrid w:val="0"/>
        <w:spacing w:after="0" w:afterLines="0" w:line="660" w:lineRule="exact"/>
        <w:ind w:left="0" w:leftChars="0" w:firstLine="0" w:firstLineChars="0"/>
        <w:jc w:val="center"/>
        <w:textAlignment w:val="auto"/>
        <w:rPr>
          <w:rFonts w:hint="default" w:ascii="Times New Roman" w:hAnsi="Times New Roman" w:eastAsia="方正小标宋简体" w:cs="Times New Roman"/>
          <w:sz w:val="44"/>
          <w:szCs w:val="44"/>
          <w:lang w:val="en-US" w:eastAsia="zh-CN"/>
        </w:rPr>
      </w:pPr>
      <w:r>
        <w:rPr>
          <w:rFonts w:hint="eastAsia" w:eastAsia="方正小标宋简体" w:cs="Times New Roman"/>
          <w:sz w:val="44"/>
          <w:szCs w:val="44"/>
          <w:lang w:val="en-US" w:eastAsia="zh-CN"/>
        </w:rPr>
        <w:t>广东省</w:t>
      </w:r>
      <w:r>
        <w:rPr>
          <w:rFonts w:hint="default" w:ascii="Times New Roman" w:hAnsi="Times New Roman" w:eastAsia="方正小标宋简体" w:cs="Times New Roman"/>
          <w:sz w:val="44"/>
          <w:szCs w:val="44"/>
          <w:lang w:val="en-US" w:eastAsia="zh-CN"/>
        </w:rPr>
        <w:t>公共数据</w:t>
      </w:r>
      <w:r>
        <w:rPr>
          <w:rFonts w:hint="eastAsia" w:eastAsia="方正小标宋简体" w:cs="Times New Roman"/>
          <w:sz w:val="44"/>
          <w:szCs w:val="44"/>
          <w:lang w:val="en-US" w:eastAsia="zh-CN"/>
        </w:rPr>
        <w:t>“</w:t>
      </w:r>
      <w:r>
        <w:rPr>
          <w:rFonts w:hint="default" w:ascii="Times New Roman" w:hAnsi="Times New Roman" w:eastAsia="方正小标宋简体" w:cs="Times New Roman"/>
          <w:sz w:val="44"/>
          <w:szCs w:val="44"/>
          <w:lang w:val="en-US" w:eastAsia="zh-CN"/>
        </w:rPr>
        <w:t>跑起来</w:t>
      </w:r>
      <w:r>
        <w:rPr>
          <w:rFonts w:hint="eastAsia" w:eastAsia="方正小标宋简体" w:cs="Times New Roman"/>
          <w:sz w:val="44"/>
          <w:szCs w:val="44"/>
          <w:lang w:val="en-US" w:eastAsia="zh-CN"/>
        </w:rPr>
        <w:t>”</w:t>
      </w:r>
      <w:r>
        <w:rPr>
          <w:rFonts w:hint="default" w:ascii="Times New Roman" w:hAnsi="Times New Roman" w:eastAsia="方正小标宋简体" w:cs="Times New Roman"/>
          <w:sz w:val="44"/>
          <w:szCs w:val="44"/>
          <w:lang w:val="en-US" w:eastAsia="zh-CN"/>
        </w:rPr>
        <w:t>示范场景</w:t>
      </w:r>
    </w:p>
    <w:p w14:paraId="17454BD3">
      <w:pPr>
        <w:keepNext w:val="0"/>
        <w:keepLines w:val="0"/>
        <w:pageBreakBefore w:val="0"/>
        <w:widowControl w:val="0"/>
        <w:kinsoku/>
        <w:wordWrap/>
        <w:overflowPunct/>
        <w:topLinePunct w:val="0"/>
        <w:autoSpaceDE/>
        <w:autoSpaceDN/>
        <w:bidi w:val="0"/>
        <w:adjustRightInd w:val="0"/>
        <w:snapToGrid w:val="0"/>
        <w:spacing w:after="0" w:afterLines="0" w:line="660" w:lineRule="exact"/>
        <w:ind w:left="0" w:leftChars="0" w:firstLine="0" w:firstLineChars="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申报指南</w:t>
      </w:r>
    </w:p>
    <w:p w14:paraId="2F133A24">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0" w:firstLineChars="0"/>
        <w:jc w:val="center"/>
        <w:textAlignment w:val="auto"/>
        <w:rPr>
          <w:rFonts w:hint="default" w:ascii="Times New Roman" w:hAnsi="Times New Roman" w:eastAsia="方正小标宋简体" w:cs="Times New Roman"/>
          <w:sz w:val="44"/>
          <w:szCs w:val="44"/>
          <w:lang w:val="en-US" w:eastAsia="zh-CN"/>
        </w:rPr>
      </w:pPr>
    </w:p>
    <w:p w14:paraId="3AD173D2">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为深入贯彻落实</w:t>
      </w:r>
      <w:r>
        <w:rPr>
          <w:rFonts w:hint="eastAsia" w:cs="仿宋_GB2312"/>
          <w:sz w:val="32"/>
          <w:lang w:val="en-US" w:eastAsia="zh-CN"/>
        </w:rPr>
        <w:t>《中共中央办公厅 国务院办公厅</w:t>
      </w:r>
      <w:r>
        <w:rPr>
          <w:rFonts w:hint="eastAsia" w:ascii="Times New Roman" w:hAnsi="Times New Roman" w:eastAsia="仿宋_GB2312" w:cs="仿宋_GB2312"/>
          <w:sz w:val="32"/>
          <w:lang w:val="en-US" w:eastAsia="zh-CN"/>
        </w:rPr>
        <w:t>关于加快公共数据资源开发利用的意见》</w:t>
      </w:r>
      <w:r>
        <w:rPr>
          <w:rFonts w:hint="eastAsia" w:ascii="仿宋_GB2312" w:hAnsi="仿宋_GB2312" w:cs="仿宋_GB2312"/>
          <w:sz w:val="32"/>
          <w:szCs w:val="32"/>
          <w:lang w:val="en-US" w:eastAsia="zh-CN"/>
        </w:rPr>
        <w:t>《中共广东省委办公厅 广东省人民政府办公厅关于加快公共数据资源开发利用的实施意见》</w:t>
      </w:r>
      <w:r>
        <w:rPr>
          <w:rFonts w:hint="eastAsia" w:ascii="Times New Roman" w:hAnsi="Times New Roman" w:eastAsia="仿宋_GB2312" w:cs="仿宋_GB2312"/>
          <w:sz w:val="32"/>
          <w:lang w:val="en-US" w:eastAsia="zh-CN"/>
        </w:rPr>
        <w:t>，以扩大公共数据资源供给为基础，以企业、百姓可感可及的场景应用为牵引，在各地各部门常态化开展公共数据</w:t>
      </w:r>
      <w:r>
        <w:rPr>
          <w:rFonts w:hint="eastAsia" w:cs="仿宋_GB2312"/>
          <w:sz w:val="32"/>
          <w:lang w:val="en-US" w:eastAsia="zh-CN"/>
        </w:rPr>
        <w:t>“</w:t>
      </w:r>
      <w:r>
        <w:rPr>
          <w:rFonts w:hint="eastAsia" w:ascii="Times New Roman" w:hAnsi="Times New Roman" w:eastAsia="仿宋_GB2312" w:cs="仿宋_GB2312"/>
          <w:sz w:val="32"/>
          <w:lang w:val="en-US" w:eastAsia="zh-CN"/>
        </w:rPr>
        <w:t>跑起来</w:t>
      </w:r>
      <w:r>
        <w:rPr>
          <w:rFonts w:hint="eastAsia" w:cs="仿宋_GB2312"/>
          <w:sz w:val="32"/>
          <w:lang w:val="en-US" w:eastAsia="zh-CN"/>
        </w:rPr>
        <w:t>”</w:t>
      </w:r>
      <w:r>
        <w:rPr>
          <w:rFonts w:hint="eastAsia" w:ascii="Times New Roman" w:hAnsi="Times New Roman" w:eastAsia="仿宋_GB2312" w:cs="仿宋_GB2312"/>
          <w:sz w:val="32"/>
          <w:lang w:val="en-US" w:eastAsia="zh-CN"/>
        </w:rPr>
        <w:t>示范场景建设，推动公共数据</w:t>
      </w:r>
      <w:r>
        <w:rPr>
          <w:rFonts w:hint="eastAsia" w:cs="仿宋_GB2312"/>
          <w:sz w:val="32"/>
          <w:lang w:val="en-US" w:eastAsia="zh-CN"/>
        </w:rPr>
        <w:t>“</w:t>
      </w:r>
      <w:r>
        <w:rPr>
          <w:rFonts w:hint="eastAsia" w:ascii="Times New Roman" w:hAnsi="Times New Roman" w:eastAsia="仿宋_GB2312" w:cs="仿宋_GB2312"/>
          <w:sz w:val="32"/>
          <w:lang w:val="en-US" w:eastAsia="zh-CN"/>
        </w:rPr>
        <w:t>供得出、流得动、用得好、保安全</w:t>
      </w:r>
      <w:r>
        <w:rPr>
          <w:rFonts w:hint="eastAsia" w:cs="仿宋_GB2312"/>
          <w:sz w:val="32"/>
          <w:lang w:val="en-US" w:eastAsia="zh-CN"/>
        </w:rPr>
        <w:t>”</w:t>
      </w:r>
      <w:r>
        <w:rPr>
          <w:rFonts w:hint="eastAsia" w:ascii="Times New Roman" w:hAnsi="Times New Roman" w:eastAsia="仿宋_GB2312" w:cs="仿宋_GB2312"/>
          <w:sz w:val="32"/>
          <w:lang w:val="en-US" w:eastAsia="zh-CN"/>
        </w:rPr>
        <w:t>，更好赋能经济社会高质量发展。公共数据</w:t>
      </w:r>
      <w:r>
        <w:rPr>
          <w:rFonts w:hint="eastAsia" w:cs="仿宋_GB2312"/>
          <w:sz w:val="32"/>
          <w:lang w:val="en-US" w:eastAsia="zh-CN"/>
        </w:rPr>
        <w:t>“</w:t>
      </w:r>
      <w:r>
        <w:rPr>
          <w:rFonts w:hint="eastAsia" w:ascii="Times New Roman" w:hAnsi="Times New Roman" w:eastAsia="仿宋_GB2312" w:cs="仿宋_GB2312"/>
          <w:sz w:val="32"/>
          <w:lang w:val="en-US" w:eastAsia="zh-CN"/>
        </w:rPr>
        <w:t>跑起来</w:t>
      </w:r>
      <w:r>
        <w:rPr>
          <w:rFonts w:hint="eastAsia" w:cs="仿宋_GB2312"/>
          <w:sz w:val="32"/>
          <w:lang w:val="en-US" w:eastAsia="zh-CN"/>
        </w:rPr>
        <w:t>”示</w:t>
      </w:r>
      <w:r>
        <w:rPr>
          <w:rFonts w:hint="eastAsia" w:ascii="Times New Roman" w:hAnsi="Times New Roman" w:eastAsia="仿宋_GB2312" w:cs="仿宋_GB2312"/>
          <w:sz w:val="32"/>
          <w:lang w:val="en-US" w:eastAsia="zh-CN"/>
        </w:rPr>
        <w:t>范场景申报指南如下。</w:t>
      </w:r>
    </w:p>
    <w:p w14:paraId="309C6480">
      <w:pPr>
        <w:keepLines w:val="0"/>
        <w:pageBreakBefore w:val="0"/>
        <w:wordWrap/>
        <w:overflowPunct/>
        <w:topLinePunct w:val="0"/>
        <w:bidi w:val="0"/>
        <w:adjustRightInd w:val="0"/>
        <w:snapToGrid w:val="0"/>
        <w:spacing w:line="576" w:lineRule="exact"/>
        <w:rPr>
          <w:rFonts w:hint="eastAsia" w:ascii="Times New Roman" w:hAnsi="Times New Roman" w:eastAsia="黑体" w:cs="仿宋_GB2312"/>
          <w:sz w:val="32"/>
          <w:lang w:val="en-US" w:eastAsia="zh-CN"/>
        </w:rPr>
      </w:pPr>
      <w:r>
        <w:rPr>
          <w:rFonts w:hint="eastAsia" w:ascii="Times New Roman" w:hAnsi="Times New Roman" w:eastAsia="黑体" w:cs="仿宋_GB2312"/>
          <w:sz w:val="32"/>
          <w:lang w:val="en-US" w:eastAsia="zh-CN"/>
        </w:rPr>
        <w:t>一、申报方向</w:t>
      </w:r>
    </w:p>
    <w:p w14:paraId="7381220D">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公共数据</w:t>
      </w:r>
      <w:r>
        <w:rPr>
          <w:rFonts w:hint="eastAsia" w:cs="仿宋_GB2312"/>
          <w:sz w:val="32"/>
          <w:lang w:val="en-US" w:eastAsia="zh-CN"/>
        </w:rPr>
        <w:t>“</w:t>
      </w:r>
      <w:r>
        <w:rPr>
          <w:rFonts w:hint="eastAsia" w:ascii="Times New Roman" w:hAnsi="Times New Roman" w:eastAsia="仿宋_GB2312" w:cs="仿宋_GB2312"/>
          <w:sz w:val="32"/>
          <w:lang w:val="en-US" w:eastAsia="zh-CN"/>
        </w:rPr>
        <w:t>跑起来</w:t>
      </w:r>
      <w:r>
        <w:rPr>
          <w:rFonts w:hint="eastAsia" w:cs="仿宋_GB2312"/>
          <w:sz w:val="32"/>
          <w:lang w:val="en-US" w:eastAsia="zh-CN"/>
        </w:rPr>
        <w:t>”</w:t>
      </w:r>
      <w:r>
        <w:rPr>
          <w:rFonts w:hint="eastAsia" w:ascii="Times New Roman" w:hAnsi="Times New Roman" w:eastAsia="仿宋_GB2312" w:cs="仿宋_GB2312"/>
          <w:sz w:val="32"/>
          <w:lang w:val="en-US" w:eastAsia="zh-CN"/>
        </w:rPr>
        <w:t>示范场景建设坚持</w:t>
      </w:r>
      <w:r>
        <w:rPr>
          <w:rFonts w:hint="eastAsia" w:cs="仿宋_GB2312"/>
          <w:sz w:val="32"/>
          <w:lang w:val="en-US" w:eastAsia="zh-CN"/>
        </w:rPr>
        <w:t>“</w:t>
      </w:r>
      <w:r>
        <w:rPr>
          <w:rFonts w:hint="eastAsia" w:ascii="Times New Roman" w:hAnsi="Times New Roman" w:eastAsia="仿宋_GB2312" w:cs="仿宋_GB2312"/>
          <w:sz w:val="32"/>
          <w:lang w:val="en-US" w:eastAsia="zh-CN"/>
        </w:rPr>
        <w:t>出数据、出应用、出产业、出模式</w:t>
      </w:r>
      <w:r>
        <w:rPr>
          <w:rFonts w:hint="eastAsia" w:cs="仿宋_GB2312"/>
          <w:sz w:val="32"/>
          <w:lang w:val="en-US" w:eastAsia="zh-CN"/>
        </w:rPr>
        <w:t>”</w:t>
      </w:r>
      <w:r>
        <w:rPr>
          <w:rFonts w:hint="eastAsia" w:ascii="Times New Roman" w:hAnsi="Times New Roman" w:eastAsia="仿宋_GB2312" w:cs="仿宋_GB2312"/>
          <w:sz w:val="32"/>
          <w:lang w:val="en-US" w:eastAsia="zh-CN"/>
        </w:rPr>
        <w:t>的工作目标，聚焦重点领域，抓住</w:t>
      </w:r>
      <w:r>
        <w:rPr>
          <w:rFonts w:hint="eastAsia" w:cs="仿宋_GB2312"/>
          <w:sz w:val="32"/>
          <w:lang w:val="en-US" w:eastAsia="zh-CN"/>
        </w:rPr>
        <w:t>“</w:t>
      </w:r>
      <w:r>
        <w:rPr>
          <w:rFonts w:hint="eastAsia" w:ascii="Times New Roman" w:hAnsi="Times New Roman" w:eastAsia="仿宋_GB2312" w:cs="仿宋_GB2312"/>
          <w:sz w:val="32"/>
          <w:lang w:val="en-US" w:eastAsia="zh-CN"/>
        </w:rPr>
        <w:t>用什么数、怎样供数、解决什么问题</w:t>
      </w:r>
      <w:r>
        <w:rPr>
          <w:rFonts w:hint="eastAsia" w:cs="仿宋_GB2312"/>
          <w:sz w:val="32"/>
          <w:lang w:val="en-US" w:eastAsia="zh-CN"/>
        </w:rPr>
        <w:t>”</w:t>
      </w:r>
      <w:r>
        <w:rPr>
          <w:rFonts w:hint="eastAsia" w:ascii="Times New Roman" w:hAnsi="Times New Roman" w:eastAsia="仿宋_GB2312" w:cs="仿宋_GB2312"/>
          <w:sz w:val="32"/>
          <w:lang w:val="en-US" w:eastAsia="zh-CN"/>
        </w:rPr>
        <w:t>三个关键，按照</w:t>
      </w:r>
      <w:r>
        <w:rPr>
          <w:rFonts w:hint="eastAsia" w:ascii="Times New Roman" w:hAnsi="Times New Roman" w:eastAsia="仿宋_GB2312" w:cs="仿宋_GB2312"/>
          <w:b/>
          <w:bCs/>
          <w:sz w:val="32"/>
          <w:lang w:val="en-US" w:eastAsia="zh-CN"/>
        </w:rPr>
        <w:t>政务数据共享、公共数据开放、公共数据授权运营</w:t>
      </w:r>
      <w:r>
        <w:rPr>
          <w:rFonts w:hint="eastAsia" w:ascii="Times New Roman" w:hAnsi="Times New Roman" w:eastAsia="仿宋_GB2312" w:cs="仿宋_GB2312"/>
          <w:sz w:val="32"/>
          <w:lang w:val="en-US" w:eastAsia="zh-CN"/>
        </w:rPr>
        <w:t>三类开发利用模式遴选项目</w:t>
      </w:r>
      <w:r>
        <w:rPr>
          <w:rFonts w:hint="eastAsia" w:cs="仿宋_GB2312"/>
          <w:sz w:val="32"/>
          <w:lang w:val="en-US" w:eastAsia="zh-CN"/>
        </w:rPr>
        <w:t>，</w:t>
      </w:r>
      <w:r>
        <w:rPr>
          <w:rFonts w:hint="eastAsia" w:cs="Times New Roman"/>
          <w:sz w:val="32"/>
          <w:szCs w:val="32"/>
          <w:lang w:val="en-US" w:eastAsia="zh-CN"/>
        </w:rPr>
        <w:t>鼓励各地各部门</w:t>
      </w:r>
      <w:r>
        <w:rPr>
          <w:rFonts w:hint="default" w:ascii="Times New Roman" w:hAnsi="Times New Roman" w:cs="Times New Roman"/>
          <w:sz w:val="32"/>
          <w:szCs w:val="32"/>
          <w:lang w:val="en-US" w:eastAsia="zh-CN"/>
        </w:rPr>
        <w:t>依托部省</w:t>
      </w:r>
      <w:r>
        <w:rPr>
          <w:rFonts w:hint="eastAsia" w:cs="Times New Roman"/>
          <w:sz w:val="32"/>
          <w:szCs w:val="32"/>
          <w:lang w:val="en-US" w:eastAsia="zh-CN"/>
        </w:rPr>
        <w:t>协同、</w:t>
      </w:r>
      <w:r>
        <w:rPr>
          <w:rFonts w:hint="default" w:ascii="Times New Roman" w:hAnsi="Times New Roman" w:cs="Times New Roman"/>
          <w:sz w:val="32"/>
          <w:szCs w:val="32"/>
          <w:lang w:val="en-US" w:eastAsia="zh-CN"/>
        </w:rPr>
        <w:t>央地联动工作机制，深化国家</w:t>
      </w:r>
      <w:r>
        <w:rPr>
          <w:rFonts w:hint="eastAsia" w:cs="Times New Roman"/>
          <w:sz w:val="32"/>
          <w:szCs w:val="32"/>
          <w:lang w:val="en-US" w:eastAsia="zh-CN"/>
        </w:rPr>
        <w:t>垂类</w:t>
      </w:r>
      <w:r>
        <w:rPr>
          <w:rFonts w:hint="default" w:ascii="Times New Roman" w:hAnsi="Times New Roman" w:cs="Times New Roman"/>
          <w:sz w:val="32"/>
          <w:szCs w:val="32"/>
          <w:lang w:val="en-US" w:eastAsia="zh-CN"/>
        </w:rPr>
        <w:t>数据</w:t>
      </w:r>
      <w:r>
        <w:rPr>
          <w:rFonts w:hint="eastAsia" w:cs="Times New Roman"/>
          <w:sz w:val="32"/>
          <w:szCs w:val="32"/>
          <w:lang w:val="en-US" w:eastAsia="zh-CN"/>
        </w:rPr>
        <w:t>资源</w:t>
      </w:r>
      <w:r>
        <w:rPr>
          <w:rFonts w:hint="default" w:ascii="Times New Roman" w:hAnsi="Times New Roman" w:cs="Times New Roman"/>
          <w:sz w:val="32"/>
          <w:szCs w:val="32"/>
          <w:lang w:val="en-US" w:eastAsia="zh-CN"/>
        </w:rPr>
        <w:t>、跨</w:t>
      </w:r>
      <w:r>
        <w:rPr>
          <w:rFonts w:hint="eastAsia" w:cs="Times New Roman"/>
          <w:sz w:val="32"/>
          <w:szCs w:val="32"/>
          <w:lang w:val="en-US" w:eastAsia="zh-CN"/>
        </w:rPr>
        <w:t>地域</w:t>
      </w:r>
      <w:r>
        <w:rPr>
          <w:rFonts w:hint="default" w:ascii="Times New Roman" w:hAnsi="Times New Roman" w:cs="Times New Roman"/>
          <w:sz w:val="32"/>
          <w:szCs w:val="32"/>
          <w:lang w:val="en-US" w:eastAsia="zh-CN"/>
        </w:rPr>
        <w:t>数据</w:t>
      </w:r>
      <w:r>
        <w:rPr>
          <w:rFonts w:hint="eastAsia" w:cs="Times New Roman"/>
          <w:sz w:val="32"/>
          <w:szCs w:val="32"/>
          <w:lang w:val="en-US" w:eastAsia="zh-CN"/>
        </w:rPr>
        <w:t>资源</w:t>
      </w:r>
      <w:r>
        <w:rPr>
          <w:rFonts w:hint="default" w:ascii="Times New Roman" w:hAnsi="Times New Roman" w:cs="Times New Roman"/>
          <w:sz w:val="32"/>
          <w:szCs w:val="32"/>
          <w:lang w:val="en-US" w:eastAsia="zh-CN"/>
        </w:rPr>
        <w:t>与我省公共数据融通应用</w:t>
      </w:r>
      <w:r>
        <w:rPr>
          <w:rFonts w:hint="eastAsia" w:ascii="Times New Roman" w:hAnsi="Times New Roman" w:eastAsia="仿宋_GB2312" w:cs="仿宋_GB2312"/>
          <w:sz w:val="32"/>
          <w:lang w:val="en-US" w:eastAsia="zh-CN"/>
        </w:rPr>
        <w:t>。</w:t>
      </w:r>
    </w:p>
    <w:p w14:paraId="7B59DA06">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1</w:t>
      </w:r>
      <w:r>
        <w:rPr>
          <w:rFonts w:hint="eastAsia" w:ascii="仿宋_GB2312" w:hAnsi="仿宋_GB2312" w:eastAsia="仿宋_GB2312" w:cs="仿宋_GB2312"/>
          <w:sz w:val="32"/>
          <w:lang w:val="en-US" w:eastAsia="zh-CN"/>
        </w:rPr>
        <w:t>.</w:t>
      </w:r>
      <w:r>
        <w:rPr>
          <w:rFonts w:hint="eastAsia" w:ascii="Times New Roman" w:hAnsi="Times New Roman" w:eastAsia="仿宋_GB2312" w:cs="仿宋_GB2312"/>
          <w:sz w:val="32"/>
          <w:lang w:val="en-US" w:eastAsia="zh-CN"/>
        </w:rPr>
        <w:t>政务数据共享。重点支持围绕</w:t>
      </w:r>
      <w:r>
        <w:rPr>
          <w:rFonts w:hint="eastAsia" w:cs="仿宋_GB2312"/>
          <w:sz w:val="32"/>
          <w:lang w:val="en-US" w:eastAsia="zh-CN"/>
        </w:rPr>
        <w:t>“</w:t>
      </w:r>
      <w:r>
        <w:rPr>
          <w:rFonts w:hint="eastAsia" w:ascii="Times New Roman" w:hAnsi="Times New Roman" w:eastAsia="仿宋_GB2312" w:cs="仿宋_GB2312"/>
          <w:sz w:val="32"/>
          <w:lang w:val="en-US" w:eastAsia="zh-CN"/>
        </w:rPr>
        <w:t>高效办成一件事</w:t>
      </w:r>
      <w:r>
        <w:rPr>
          <w:rFonts w:hint="eastAsia" w:cs="仿宋_GB2312"/>
          <w:sz w:val="32"/>
          <w:lang w:val="en-US" w:eastAsia="zh-CN"/>
        </w:rPr>
        <w:t>”“</w:t>
      </w:r>
      <w:r>
        <w:rPr>
          <w:rFonts w:hint="eastAsia" w:ascii="Times New Roman" w:hAnsi="Times New Roman" w:eastAsia="仿宋_GB2312" w:cs="仿宋_GB2312"/>
          <w:sz w:val="32"/>
          <w:lang w:val="en-US" w:eastAsia="zh-CN"/>
        </w:rPr>
        <w:t>优惠政策免申即享</w:t>
      </w:r>
      <w:r>
        <w:rPr>
          <w:rFonts w:hint="eastAsia" w:cs="仿宋_GB2312"/>
          <w:sz w:val="32"/>
          <w:lang w:val="en-US" w:eastAsia="zh-CN"/>
        </w:rPr>
        <w:t>”“</w:t>
      </w:r>
      <w:r>
        <w:rPr>
          <w:rFonts w:hint="eastAsia" w:ascii="Times New Roman" w:hAnsi="Times New Roman" w:eastAsia="仿宋_GB2312" w:cs="仿宋_GB2312"/>
          <w:sz w:val="32"/>
          <w:lang w:val="en-US" w:eastAsia="zh-CN"/>
        </w:rPr>
        <w:t>基层填表报数只报一次</w:t>
      </w:r>
      <w:r>
        <w:rPr>
          <w:rFonts w:hint="eastAsia" w:cs="仿宋_GB2312"/>
          <w:sz w:val="32"/>
          <w:lang w:val="en-US" w:eastAsia="zh-CN"/>
        </w:rPr>
        <w:t>”“</w:t>
      </w:r>
      <w:r>
        <w:rPr>
          <w:rFonts w:hint="eastAsia" w:ascii="Times New Roman" w:hAnsi="Times New Roman" w:eastAsia="仿宋_GB2312" w:cs="仿宋_GB2312"/>
          <w:sz w:val="32"/>
          <w:lang w:val="en-US" w:eastAsia="zh-CN"/>
        </w:rPr>
        <w:t>办事‘0’证明</w:t>
      </w:r>
      <w:r>
        <w:rPr>
          <w:rFonts w:hint="eastAsia" w:cs="仿宋_GB2312"/>
          <w:sz w:val="32"/>
          <w:lang w:val="en-US" w:eastAsia="zh-CN"/>
        </w:rPr>
        <w:t>”</w:t>
      </w:r>
      <w:r>
        <w:rPr>
          <w:rFonts w:hint="eastAsia" w:ascii="Times New Roman" w:hAnsi="Times New Roman" w:eastAsia="仿宋_GB2312" w:cs="仿宋_GB2312"/>
          <w:sz w:val="32"/>
          <w:lang w:val="en-US" w:eastAsia="zh-CN"/>
        </w:rPr>
        <w:t>等应用，推动跨层级、跨地域、跨系统、跨部门、跨业务的政务数据共享，强化政务数据回流和直达基层。</w:t>
      </w:r>
    </w:p>
    <w:p w14:paraId="39B753A9">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2</w:t>
      </w:r>
      <w:r>
        <w:rPr>
          <w:rFonts w:hint="eastAsia" w:ascii="仿宋_GB2312" w:hAnsi="仿宋_GB2312" w:eastAsia="仿宋_GB2312" w:cs="仿宋_GB2312"/>
          <w:sz w:val="32"/>
          <w:lang w:val="en-US" w:eastAsia="zh-CN"/>
        </w:rPr>
        <w:t>.</w:t>
      </w:r>
      <w:r>
        <w:rPr>
          <w:rFonts w:hint="eastAsia" w:ascii="Times New Roman" w:hAnsi="Times New Roman" w:eastAsia="仿宋_GB2312" w:cs="仿宋_GB2312"/>
          <w:sz w:val="32"/>
          <w:lang w:val="en-US" w:eastAsia="zh-CN"/>
        </w:rPr>
        <w:t>公共数据开放。重点支持基于明确的数据需求，通过开放平台提供数据下载、接口服务等直接获取公共数据的方式，降低社会主体获取公共数据的门槛，优先支持开放与民生紧密相关和面向人工智能应用的高质量公共数据集。</w:t>
      </w:r>
    </w:p>
    <w:p w14:paraId="30F49391">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3</w:t>
      </w:r>
      <w:r>
        <w:rPr>
          <w:rFonts w:hint="eastAsia" w:ascii="仿宋_GB2312" w:hAnsi="仿宋_GB2312" w:eastAsia="仿宋_GB2312" w:cs="仿宋_GB2312"/>
          <w:sz w:val="32"/>
          <w:lang w:val="en-US" w:eastAsia="zh-CN"/>
        </w:rPr>
        <w:t>.</w:t>
      </w:r>
      <w:r>
        <w:rPr>
          <w:rFonts w:hint="eastAsia" w:ascii="Times New Roman" w:hAnsi="Times New Roman" w:eastAsia="仿宋_GB2312" w:cs="仿宋_GB2312"/>
          <w:sz w:val="32"/>
          <w:lang w:val="en-US" w:eastAsia="zh-CN"/>
        </w:rPr>
        <w:t>公共数据授权运营。重点探索以市场化机制、专业化力量创新公共数据产品和服务供给模式，建立健全收益分配机制。支持依托可信数据空间等数据流通利用基础设施，推动公共数据与社会数据融合应用，扩大公共数据使用效益。</w:t>
      </w:r>
    </w:p>
    <w:p w14:paraId="7E12280C">
      <w:pPr>
        <w:keepLines w:val="0"/>
        <w:pageBreakBefore w:val="0"/>
        <w:wordWrap/>
        <w:overflowPunct/>
        <w:topLinePunct w:val="0"/>
        <w:bidi w:val="0"/>
        <w:adjustRightInd w:val="0"/>
        <w:snapToGrid w:val="0"/>
        <w:spacing w:line="576" w:lineRule="exact"/>
        <w:rPr>
          <w:rFonts w:hint="eastAsia" w:ascii="Times New Roman" w:hAnsi="Times New Roman" w:eastAsia="黑体" w:cs="仿宋_GB2312"/>
          <w:sz w:val="32"/>
          <w:lang w:val="en-US" w:eastAsia="zh-CN"/>
        </w:rPr>
      </w:pPr>
      <w:r>
        <w:rPr>
          <w:rFonts w:hint="eastAsia" w:ascii="Times New Roman" w:hAnsi="Times New Roman" w:eastAsia="黑体" w:cs="仿宋_GB2312"/>
          <w:sz w:val="32"/>
          <w:lang w:val="en-US" w:eastAsia="zh-CN"/>
        </w:rPr>
        <w:t>二、方案要点</w:t>
      </w:r>
    </w:p>
    <w:p w14:paraId="657FBDED">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场景建设方案应包括但不限于以下内容：</w:t>
      </w:r>
    </w:p>
    <w:p w14:paraId="1C971F6E">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1</w:t>
      </w:r>
      <w:r>
        <w:rPr>
          <w:rFonts w:hint="eastAsia" w:ascii="仿宋_GB2312" w:hAnsi="仿宋_GB2312" w:eastAsia="仿宋_GB2312" w:cs="仿宋_GB2312"/>
          <w:sz w:val="32"/>
          <w:lang w:val="en-US" w:eastAsia="zh-CN"/>
        </w:rPr>
        <w:t>.</w:t>
      </w:r>
      <w:r>
        <w:rPr>
          <w:rFonts w:hint="eastAsia" w:ascii="Times New Roman" w:hAnsi="Times New Roman" w:eastAsia="仿宋_GB2312" w:cs="仿宋_GB2312"/>
          <w:sz w:val="32"/>
          <w:lang w:val="en-US" w:eastAsia="zh-CN"/>
        </w:rPr>
        <w:t>工作基础：已开展的工作情况，包含政策文件制定情况、数据资源现状、技术平台建设情况等。</w:t>
      </w:r>
    </w:p>
    <w:p w14:paraId="155B4ABE">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2</w:t>
      </w:r>
      <w:r>
        <w:rPr>
          <w:rFonts w:hint="eastAsia" w:ascii="仿宋_GB2312" w:hAnsi="仿宋_GB2312" w:eastAsia="仿宋_GB2312" w:cs="仿宋_GB2312"/>
          <w:sz w:val="32"/>
          <w:lang w:val="en-US" w:eastAsia="zh-CN"/>
        </w:rPr>
        <w:t>.</w:t>
      </w:r>
      <w:r>
        <w:rPr>
          <w:rFonts w:hint="eastAsia" w:ascii="Times New Roman" w:hAnsi="Times New Roman" w:eastAsia="仿宋_GB2312" w:cs="仿宋_GB2312"/>
          <w:sz w:val="32"/>
          <w:lang w:val="en-US" w:eastAsia="zh-CN"/>
        </w:rPr>
        <w:t>建设目标：拟解决的问题、拟达成的工作目标</w:t>
      </w:r>
      <w:r>
        <w:rPr>
          <w:rFonts w:hint="eastAsia" w:cs="仿宋_GB2312"/>
          <w:sz w:val="32"/>
          <w:lang w:val="en-US" w:eastAsia="zh-CN"/>
        </w:rPr>
        <w:t>（</w:t>
      </w:r>
      <w:r>
        <w:rPr>
          <w:rFonts w:hint="eastAsia" w:ascii="Times New Roman" w:hAnsi="Times New Roman" w:eastAsia="仿宋_GB2312" w:cs="仿宋_GB2312"/>
          <w:sz w:val="32"/>
          <w:lang w:val="en-US" w:eastAsia="zh-CN"/>
        </w:rPr>
        <w:t>围绕</w:t>
      </w:r>
      <w:r>
        <w:rPr>
          <w:rFonts w:hint="eastAsia" w:cs="仿宋_GB2312"/>
          <w:sz w:val="32"/>
          <w:lang w:val="en-US" w:eastAsia="zh-CN"/>
        </w:rPr>
        <w:t>“</w:t>
      </w:r>
      <w:r>
        <w:rPr>
          <w:rFonts w:hint="eastAsia" w:ascii="Times New Roman" w:hAnsi="Times New Roman" w:eastAsia="仿宋_GB2312" w:cs="仿宋_GB2312"/>
          <w:sz w:val="32"/>
          <w:lang w:val="en-US" w:eastAsia="zh-CN"/>
        </w:rPr>
        <w:t>出数据、出应用、出产业、出模式</w:t>
      </w:r>
      <w:r>
        <w:rPr>
          <w:rFonts w:hint="eastAsia" w:cs="仿宋_GB2312"/>
          <w:sz w:val="32"/>
          <w:lang w:val="en-US" w:eastAsia="zh-CN"/>
        </w:rPr>
        <w:t>”）</w:t>
      </w:r>
      <w:r>
        <w:rPr>
          <w:rFonts w:hint="eastAsia" w:ascii="Times New Roman" w:hAnsi="Times New Roman" w:eastAsia="仿宋_GB2312" w:cs="仿宋_GB2312"/>
          <w:sz w:val="32"/>
          <w:lang w:val="en-US" w:eastAsia="zh-CN"/>
        </w:rPr>
        <w:t>。</w:t>
      </w:r>
    </w:p>
    <w:p w14:paraId="042D233D">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3</w:t>
      </w:r>
      <w:r>
        <w:rPr>
          <w:rFonts w:hint="eastAsia" w:ascii="仿宋_GB2312" w:hAnsi="仿宋_GB2312" w:eastAsia="仿宋_GB2312" w:cs="仿宋_GB2312"/>
          <w:sz w:val="32"/>
          <w:lang w:val="en-US" w:eastAsia="zh-CN"/>
        </w:rPr>
        <w:t>.</w:t>
      </w:r>
      <w:r>
        <w:rPr>
          <w:rFonts w:hint="eastAsia" w:ascii="Times New Roman" w:hAnsi="Times New Roman" w:eastAsia="仿宋_GB2312" w:cs="仿宋_GB2312"/>
          <w:sz w:val="32"/>
          <w:lang w:val="en-US" w:eastAsia="zh-CN"/>
        </w:rPr>
        <w:t>总体思路：公共数据开发利用模式与创新举措。</w:t>
      </w:r>
    </w:p>
    <w:p w14:paraId="18729C49">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4</w:t>
      </w:r>
      <w:r>
        <w:rPr>
          <w:rFonts w:hint="eastAsia" w:ascii="仿宋_GB2312" w:hAnsi="仿宋_GB2312" w:eastAsia="仿宋_GB2312" w:cs="仿宋_GB2312"/>
          <w:sz w:val="32"/>
          <w:lang w:val="en-US" w:eastAsia="zh-CN"/>
        </w:rPr>
        <w:t>.</w:t>
      </w:r>
      <w:r>
        <w:rPr>
          <w:rFonts w:hint="eastAsia" w:ascii="Times New Roman" w:hAnsi="Times New Roman" w:eastAsia="仿宋_GB2312" w:cs="仿宋_GB2312"/>
          <w:sz w:val="32"/>
          <w:lang w:val="en-US" w:eastAsia="zh-CN"/>
        </w:rPr>
        <w:t>建设方案：数据资源体系</w:t>
      </w:r>
      <w:r>
        <w:rPr>
          <w:rFonts w:hint="eastAsia" w:cs="仿宋_GB2312"/>
          <w:sz w:val="32"/>
          <w:lang w:val="en-US" w:eastAsia="zh-CN"/>
        </w:rPr>
        <w:t>（</w:t>
      </w:r>
      <w:r>
        <w:rPr>
          <w:rFonts w:hint="eastAsia" w:ascii="Times New Roman" w:hAnsi="Times New Roman" w:eastAsia="仿宋_GB2312" w:cs="仿宋_GB2312"/>
          <w:sz w:val="32"/>
          <w:lang w:val="en-US" w:eastAsia="zh-CN"/>
        </w:rPr>
        <w:t>数据集</w:t>
      </w:r>
      <w:r>
        <w:rPr>
          <w:rFonts w:hint="eastAsia" w:cs="仿宋_GB2312"/>
          <w:sz w:val="32"/>
          <w:lang w:val="en-US" w:eastAsia="zh-CN"/>
        </w:rPr>
        <w:t>）</w:t>
      </w:r>
      <w:r>
        <w:rPr>
          <w:rFonts w:hint="eastAsia" w:ascii="Times New Roman" w:hAnsi="Times New Roman" w:eastAsia="仿宋_GB2312" w:cs="仿宋_GB2312"/>
          <w:sz w:val="32"/>
          <w:lang w:val="en-US" w:eastAsia="zh-CN"/>
        </w:rPr>
        <w:t>方案、数据应用方案、数据流通基础设施与安全方案、制度机制建设方案等。</w:t>
      </w:r>
    </w:p>
    <w:p w14:paraId="19F6EE1E">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5</w:t>
      </w:r>
      <w:r>
        <w:rPr>
          <w:rFonts w:hint="eastAsia" w:ascii="仿宋_GB2312" w:hAnsi="仿宋_GB2312" w:eastAsia="仿宋_GB2312" w:cs="仿宋_GB2312"/>
          <w:sz w:val="32"/>
          <w:lang w:val="en-US" w:eastAsia="zh-CN"/>
        </w:rPr>
        <w:t>.</w:t>
      </w:r>
      <w:r>
        <w:rPr>
          <w:rFonts w:hint="eastAsia" w:ascii="Times New Roman" w:hAnsi="Times New Roman" w:eastAsia="仿宋_GB2312" w:cs="仿宋_GB2312"/>
          <w:sz w:val="32"/>
          <w:lang w:val="en-US" w:eastAsia="zh-CN"/>
        </w:rPr>
        <w:t>预期成果：预期取得的经济社会效益等。</w:t>
      </w:r>
    </w:p>
    <w:p w14:paraId="158606E5">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6</w:t>
      </w:r>
      <w:r>
        <w:rPr>
          <w:rFonts w:hint="eastAsia" w:ascii="仿宋_GB2312" w:hAnsi="仿宋_GB2312" w:eastAsia="仿宋_GB2312" w:cs="仿宋_GB2312"/>
          <w:sz w:val="32"/>
          <w:lang w:val="en-US" w:eastAsia="zh-CN"/>
        </w:rPr>
        <w:t>.</w:t>
      </w:r>
      <w:r>
        <w:rPr>
          <w:rFonts w:hint="eastAsia" w:ascii="Times New Roman" w:hAnsi="Times New Roman" w:eastAsia="仿宋_GB2312" w:cs="仿宋_GB2312"/>
          <w:sz w:val="32"/>
          <w:lang w:val="en-US" w:eastAsia="zh-CN"/>
        </w:rPr>
        <w:t>实施计划：项目拟参与建设单位及分工，项目实施计划及阶段性成果等。</w:t>
      </w:r>
    </w:p>
    <w:p w14:paraId="420713CC">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7</w:t>
      </w:r>
      <w:r>
        <w:rPr>
          <w:rFonts w:hint="eastAsia" w:ascii="仿宋_GB2312" w:hAnsi="仿宋_GB2312" w:eastAsia="仿宋_GB2312" w:cs="仿宋_GB2312"/>
          <w:sz w:val="32"/>
          <w:lang w:val="en-US" w:eastAsia="zh-CN"/>
        </w:rPr>
        <w:t>.</w:t>
      </w:r>
      <w:r>
        <w:rPr>
          <w:rFonts w:hint="eastAsia" w:ascii="Times New Roman" w:hAnsi="Times New Roman" w:eastAsia="仿宋_GB2312" w:cs="仿宋_GB2312"/>
          <w:sz w:val="32"/>
          <w:lang w:val="en-US" w:eastAsia="zh-CN"/>
        </w:rPr>
        <w:t>保障措施：组织领导、资金保障、总结宣传等。</w:t>
      </w:r>
    </w:p>
    <w:p w14:paraId="2C58B2F6">
      <w:pPr>
        <w:keepNext/>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黑体" w:cs="仿宋_GB2312"/>
          <w:sz w:val="32"/>
          <w:lang w:val="en-US" w:eastAsia="zh-CN"/>
        </w:rPr>
      </w:pPr>
      <w:r>
        <w:rPr>
          <w:rFonts w:hint="eastAsia" w:ascii="Times New Roman" w:hAnsi="Times New Roman" w:eastAsia="黑体" w:cs="仿宋_GB2312"/>
          <w:sz w:val="32"/>
          <w:lang w:val="en-US" w:eastAsia="zh-CN"/>
        </w:rPr>
        <w:t>三、申报流程</w:t>
      </w:r>
    </w:p>
    <w:p w14:paraId="29AF6B4D">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0"/>
        <w:jc w:val="both"/>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w:t>
      </w:r>
      <w:r>
        <w:rPr>
          <w:rFonts w:hint="eastAsia" w:ascii="仿宋_GB2312" w:hAnsi="仿宋_GB2312" w:eastAsia="仿宋_GB2312" w:cs="仿宋_GB2312"/>
          <w:sz w:val="32"/>
          <w:szCs w:val="32"/>
          <w:lang w:val="en-US" w:eastAsia="zh-CN"/>
        </w:rPr>
        <w:t>.</w:t>
      </w:r>
      <w:r>
        <w:rPr>
          <w:rFonts w:hint="default" w:ascii="Times New Roman" w:hAnsi="Times New Roman" w:cs="Times New Roman"/>
          <w:sz w:val="32"/>
          <w:szCs w:val="32"/>
          <w:lang w:val="en-US" w:eastAsia="zh-CN"/>
        </w:rPr>
        <w:t>方案征集。各地各部门作为本地区、本行业场景建设汇总推荐单位，通过发布申报指南等方式，在本辖区或本领域开展场景征集工作。各申报单位编制公共数据</w:t>
      </w:r>
      <w:r>
        <w:rPr>
          <w:rFonts w:hint="eastAsia" w:cs="Times New Roman"/>
          <w:sz w:val="32"/>
          <w:szCs w:val="32"/>
          <w:lang w:val="en-US" w:eastAsia="zh-CN"/>
        </w:rPr>
        <w:t>“</w:t>
      </w:r>
      <w:r>
        <w:rPr>
          <w:rFonts w:hint="default" w:ascii="Times New Roman" w:hAnsi="Times New Roman" w:cs="Times New Roman"/>
          <w:sz w:val="32"/>
          <w:szCs w:val="32"/>
          <w:lang w:val="en-US" w:eastAsia="zh-CN"/>
        </w:rPr>
        <w:t>跑起来</w:t>
      </w:r>
      <w:r>
        <w:rPr>
          <w:rFonts w:hint="eastAsia" w:cs="Times New Roman"/>
          <w:sz w:val="32"/>
          <w:szCs w:val="32"/>
          <w:lang w:val="en-US" w:eastAsia="zh-CN"/>
        </w:rPr>
        <w:t>”</w:t>
      </w:r>
      <w:r>
        <w:rPr>
          <w:rFonts w:hint="default" w:ascii="Times New Roman" w:hAnsi="Times New Roman" w:cs="Times New Roman"/>
          <w:sz w:val="32"/>
          <w:szCs w:val="32"/>
          <w:lang w:val="en-US" w:eastAsia="zh-CN"/>
        </w:rPr>
        <w:t>示范场景建设方案</w:t>
      </w:r>
      <w:r>
        <w:rPr>
          <w:rFonts w:hint="eastAsia" w:cs="Times New Roman"/>
          <w:sz w:val="32"/>
          <w:szCs w:val="32"/>
          <w:lang w:val="en-US" w:eastAsia="zh-CN"/>
        </w:rPr>
        <w:t>，并提供方案</w:t>
      </w:r>
      <w:r>
        <w:rPr>
          <w:rFonts w:hint="default" w:ascii="Times New Roman" w:hAnsi="Times New Roman" w:cs="Times New Roman"/>
          <w:sz w:val="32"/>
          <w:szCs w:val="32"/>
          <w:lang w:val="en-US" w:eastAsia="zh-CN"/>
        </w:rPr>
        <w:t>盖章扫描版和可编辑电子版</w:t>
      </w:r>
      <w:r>
        <w:rPr>
          <w:rFonts w:hint="eastAsia" w:cs="Times New Roman"/>
          <w:sz w:val="32"/>
          <w:szCs w:val="32"/>
          <w:lang w:val="en-US" w:eastAsia="zh-CN"/>
        </w:rPr>
        <w:t>。</w:t>
      </w:r>
    </w:p>
    <w:p w14:paraId="0C288D46">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0"/>
        <w:jc w:val="both"/>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w:t>
      </w:r>
      <w:r>
        <w:rPr>
          <w:rFonts w:hint="eastAsia" w:ascii="仿宋_GB2312" w:hAnsi="仿宋_GB2312" w:eastAsia="仿宋_GB2312" w:cs="仿宋_GB2312"/>
          <w:sz w:val="32"/>
          <w:szCs w:val="32"/>
          <w:lang w:val="en-US" w:eastAsia="zh-CN"/>
        </w:rPr>
        <w:t>.</w:t>
      </w:r>
      <w:r>
        <w:rPr>
          <w:rFonts w:hint="default" w:ascii="Times New Roman" w:hAnsi="Times New Roman" w:cs="Times New Roman"/>
          <w:sz w:val="32"/>
          <w:szCs w:val="32"/>
          <w:lang w:val="en-US" w:eastAsia="zh-CN"/>
        </w:rPr>
        <w:t>评审遴选。汇总推荐单位对征集的场景建设方案进行评审，评选出</w:t>
      </w:r>
      <w:r>
        <w:rPr>
          <w:rFonts w:hint="eastAsia" w:cs="Times New Roman"/>
          <w:sz w:val="32"/>
          <w:szCs w:val="32"/>
          <w:lang w:val="en-US" w:eastAsia="zh-CN"/>
        </w:rPr>
        <w:t>高价值、强示范的</w:t>
      </w:r>
      <w:r>
        <w:rPr>
          <w:rFonts w:hint="default" w:ascii="Times New Roman" w:hAnsi="Times New Roman" w:cs="Times New Roman"/>
          <w:sz w:val="32"/>
          <w:szCs w:val="32"/>
          <w:lang w:val="en-US" w:eastAsia="zh-CN"/>
        </w:rPr>
        <w:t>场景</w:t>
      </w:r>
      <w:r>
        <w:rPr>
          <w:rFonts w:hint="eastAsia" w:cs="Times New Roman"/>
          <w:sz w:val="32"/>
          <w:szCs w:val="32"/>
          <w:lang w:val="en-US" w:eastAsia="zh-CN"/>
        </w:rPr>
        <w:t>推荐汇总</w:t>
      </w:r>
      <w:r>
        <w:rPr>
          <w:rFonts w:hint="default" w:ascii="Times New Roman" w:hAnsi="Times New Roman" w:cs="Times New Roman"/>
          <w:sz w:val="32"/>
          <w:szCs w:val="32"/>
          <w:lang w:val="en-US" w:eastAsia="zh-CN"/>
        </w:rPr>
        <w:t>清单。</w:t>
      </w:r>
    </w:p>
    <w:p w14:paraId="6E478FB3">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0"/>
        <w:jc w:val="both"/>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3</w:t>
      </w:r>
      <w:r>
        <w:rPr>
          <w:rFonts w:hint="eastAsia" w:ascii="仿宋_GB2312" w:hAnsi="仿宋_GB2312" w:eastAsia="仿宋_GB2312" w:cs="仿宋_GB2312"/>
          <w:sz w:val="32"/>
          <w:szCs w:val="32"/>
          <w:lang w:val="en-US" w:eastAsia="zh-CN"/>
        </w:rPr>
        <w:t>.</w:t>
      </w:r>
      <w:r>
        <w:rPr>
          <w:rFonts w:hint="default" w:ascii="Times New Roman" w:hAnsi="Times New Roman" w:cs="Times New Roman"/>
          <w:sz w:val="32"/>
          <w:szCs w:val="32"/>
          <w:lang w:val="en-US" w:eastAsia="zh-CN"/>
        </w:rPr>
        <w:t>推选报送。汇总推荐单位</w:t>
      </w:r>
      <w:r>
        <w:rPr>
          <w:rFonts w:hint="eastAsia" w:cs="Times New Roman"/>
          <w:sz w:val="32"/>
          <w:szCs w:val="32"/>
          <w:lang w:val="en-US" w:eastAsia="zh-CN"/>
        </w:rPr>
        <w:t>填写</w:t>
      </w:r>
      <w:r>
        <w:rPr>
          <w:rFonts w:hint="default" w:ascii="Times New Roman" w:hAnsi="Times New Roman" w:cs="Times New Roman"/>
          <w:sz w:val="32"/>
          <w:szCs w:val="32"/>
          <w:lang w:val="en-US" w:eastAsia="zh-CN"/>
        </w:rPr>
        <w:t>推荐表，加盖本单位公章后</w:t>
      </w:r>
      <w:r>
        <w:rPr>
          <w:rFonts w:hint="eastAsia" w:cs="Times New Roman"/>
          <w:sz w:val="32"/>
          <w:szCs w:val="32"/>
          <w:lang w:val="en-US" w:eastAsia="zh-CN"/>
        </w:rPr>
        <w:t>，</w:t>
      </w:r>
      <w:r>
        <w:rPr>
          <w:rFonts w:hint="eastAsia" w:cs="Times New Roman"/>
          <w:sz w:val="32"/>
          <w:szCs w:val="32"/>
          <w:highlight w:val="none"/>
          <w:lang w:val="en-US" w:eastAsia="zh-CN"/>
        </w:rPr>
        <w:t>将拟推荐场景的盖章扫描版方案、可编辑版方案及推荐表材料</w:t>
      </w:r>
      <w:r>
        <w:rPr>
          <w:rFonts w:hint="default" w:ascii="Times New Roman" w:hAnsi="Times New Roman" w:cs="Times New Roman"/>
          <w:sz w:val="32"/>
          <w:szCs w:val="32"/>
          <w:lang w:val="en-US" w:eastAsia="zh-CN"/>
        </w:rPr>
        <w:t>一并报送至广东省政务服务和数据管理局</w:t>
      </w:r>
      <w:r>
        <w:rPr>
          <w:rFonts w:hint="eastAsia" w:cs="Times New Roman"/>
          <w:sz w:val="32"/>
          <w:szCs w:val="32"/>
          <w:lang w:val="en-US" w:eastAsia="zh-CN"/>
        </w:rPr>
        <w:t>。</w:t>
      </w:r>
    </w:p>
    <w:p w14:paraId="3EAED582">
      <w:pPr>
        <w:keepNext/>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黑体" w:cs="仿宋_GB2312"/>
          <w:sz w:val="32"/>
          <w:lang w:val="en-US" w:eastAsia="zh-CN"/>
        </w:rPr>
      </w:pPr>
      <w:r>
        <w:rPr>
          <w:rFonts w:hint="eastAsia" w:ascii="Times New Roman" w:hAnsi="Times New Roman" w:cs="Times New Roman"/>
          <w:sz w:val="32"/>
          <w:szCs w:val="32"/>
          <w:lang w:val="en-US" w:eastAsia="zh-CN"/>
        </w:rPr>
        <w:t>4</w:t>
      </w:r>
      <w:r>
        <w:rPr>
          <w:rFonts w:hint="eastAsia" w:ascii="仿宋_GB2312" w:hAnsi="仿宋_GB2312" w:eastAsia="仿宋_GB2312" w:cs="仿宋_GB2312"/>
          <w:sz w:val="32"/>
          <w:szCs w:val="32"/>
          <w:lang w:val="en-US" w:eastAsia="zh-CN"/>
        </w:rPr>
        <w:t>.</w:t>
      </w:r>
      <w:r>
        <w:rPr>
          <w:rFonts w:hint="eastAsia" w:cs="Times New Roman"/>
          <w:sz w:val="32"/>
          <w:szCs w:val="32"/>
          <w:lang w:val="en-US" w:eastAsia="zh-CN"/>
        </w:rPr>
        <w:t>遴选公示</w:t>
      </w:r>
      <w:r>
        <w:rPr>
          <w:rFonts w:hint="default" w:ascii="Times New Roman" w:hAnsi="Times New Roman" w:cs="Times New Roman"/>
          <w:sz w:val="32"/>
          <w:szCs w:val="32"/>
          <w:lang w:val="en-US" w:eastAsia="zh-CN"/>
        </w:rPr>
        <w:t>。广东省政务服务和数据管理局</w:t>
      </w:r>
      <w:r>
        <w:rPr>
          <w:rFonts w:hint="eastAsia" w:ascii="Times New Roman" w:hAnsi="Times New Roman" w:eastAsia="仿宋_GB2312" w:cs="仿宋_GB2312"/>
          <w:sz w:val="32"/>
          <w:lang w:val="en-US" w:eastAsia="zh-CN"/>
        </w:rPr>
        <w:t>组织对各单位推选的场景建设方案进行统一评审</w:t>
      </w:r>
      <w:r>
        <w:rPr>
          <w:rFonts w:hint="default" w:ascii="Times New Roman" w:hAnsi="Times New Roman" w:cs="Times New Roman"/>
          <w:sz w:val="32"/>
          <w:szCs w:val="32"/>
          <w:lang w:val="en-US" w:eastAsia="zh-CN"/>
        </w:rPr>
        <w:t>，遴选省级示范场景名单并向社会公示，择优纳入国家公共数据</w:t>
      </w:r>
      <w:r>
        <w:rPr>
          <w:rFonts w:hint="eastAsia" w:cs="Times New Roman"/>
          <w:sz w:val="32"/>
          <w:szCs w:val="32"/>
          <w:lang w:val="en-US" w:eastAsia="zh-CN"/>
        </w:rPr>
        <w:t>“</w:t>
      </w:r>
      <w:r>
        <w:rPr>
          <w:rFonts w:hint="default" w:ascii="Times New Roman" w:hAnsi="Times New Roman" w:cs="Times New Roman"/>
          <w:sz w:val="32"/>
          <w:szCs w:val="32"/>
          <w:lang w:val="en-US" w:eastAsia="zh-CN"/>
        </w:rPr>
        <w:t>跑起来</w:t>
      </w:r>
      <w:r>
        <w:rPr>
          <w:rFonts w:hint="eastAsia" w:cs="Times New Roman"/>
          <w:sz w:val="32"/>
          <w:szCs w:val="32"/>
          <w:lang w:val="en-US" w:eastAsia="zh-CN"/>
        </w:rPr>
        <w:t>”</w:t>
      </w:r>
      <w:r>
        <w:rPr>
          <w:rFonts w:hint="default" w:ascii="Times New Roman" w:hAnsi="Times New Roman" w:cs="Times New Roman"/>
          <w:sz w:val="32"/>
          <w:szCs w:val="32"/>
          <w:lang w:val="en-US" w:eastAsia="zh-CN"/>
        </w:rPr>
        <w:t>示范场景推荐清单。</w:t>
      </w:r>
    </w:p>
    <w:p w14:paraId="53D01E5D">
      <w:pPr>
        <w:keepNext/>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黑体" w:cs="仿宋_GB2312"/>
          <w:sz w:val="32"/>
          <w:lang w:val="en-US" w:eastAsia="zh-CN"/>
        </w:rPr>
      </w:pPr>
      <w:r>
        <w:rPr>
          <w:rFonts w:hint="eastAsia" w:ascii="Times New Roman" w:hAnsi="Times New Roman" w:eastAsia="黑体" w:cs="仿宋_GB2312"/>
          <w:sz w:val="32"/>
          <w:lang w:val="en-US" w:eastAsia="zh-CN"/>
        </w:rPr>
        <w:t>四、申报相关要求</w:t>
      </w:r>
    </w:p>
    <w:p w14:paraId="10094550">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1</w:t>
      </w:r>
      <w:r>
        <w:rPr>
          <w:rFonts w:hint="eastAsia" w:ascii="仿宋_GB2312" w:hAnsi="仿宋_GB2312" w:eastAsia="仿宋_GB2312" w:cs="仿宋_GB2312"/>
          <w:sz w:val="32"/>
          <w:lang w:val="en-US" w:eastAsia="zh-CN"/>
        </w:rPr>
        <w:t>.</w:t>
      </w:r>
      <w:r>
        <w:rPr>
          <w:rFonts w:hint="eastAsia" w:ascii="Times New Roman" w:hAnsi="Times New Roman" w:eastAsia="仿宋_GB2312" w:cs="仿宋_GB2312"/>
          <w:sz w:val="32"/>
          <w:lang w:val="en-US" w:eastAsia="zh-CN"/>
        </w:rPr>
        <w:t>申报单位对申报材料的真实性负责，杜绝夸大不实，严禁弄虚作假，所选取的场景不应为建设完成或已在推广的应用场景。</w:t>
      </w:r>
    </w:p>
    <w:p w14:paraId="6AC08445">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eastAsia" w:ascii="Times New Roman" w:hAnsi="Times New Roman" w:eastAsia="仿宋_GB2312" w:cs="仿宋_GB2312"/>
          <w:sz w:val="32"/>
          <w:lang w:val="en-US" w:eastAsia="zh-CN"/>
        </w:rPr>
      </w:pPr>
      <w:r>
        <w:rPr>
          <w:rFonts w:hint="eastAsia" w:ascii="Times New Roman" w:hAnsi="Times New Roman" w:eastAsia="仿宋_GB2312" w:cs="仿宋_GB2312"/>
          <w:sz w:val="32"/>
          <w:lang w:val="en-US" w:eastAsia="zh-CN"/>
        </w:rPr>
        <w:t>2</w:t>
      </w:r>
      <w:r>
        <w:rPr>
          <w:rFonts w:hint="eastAsia" w:ascii="仿宋_GB2312" w:hAnsi="仿宋_GB2312" w:eastAsia="仿宋_GB2312" w:cs="仿宋_GB2312"/>
          <w:sz w:val="32"/>
          <w:lang w:val="en-US" w:eastAsia="zh-CN"/>
        </w:rPr>
        <w:t>.</w:t>
      </w:r>
      <w:r>
        <w:rPr>
          <w:rFonts w:hint="eastAsia" w:ascii="Times New Roman" w:hAnsi="Times New Roman" w:eastAsia="仿宋_GB2312" w:cs="仿宋_GB2312"/>
          <w:sz w:val="32"/>
          <w:lang w:val="en-US" w:eastAsia="zh-CN"/>
        </w:rPr>
        <w:t>场景建设</w:t>
      </w:r>
      <w:r>
        <w:rPr>
          <w:rFonts w:hint="eastAsia" w:cs="仿宋_GB2312"/>
          <w:sz w:val="32"/>
          <w:lang w:val="en-US" w:eastAsia="zh-CN"/>
        </w:rPr>
        <w:t>须具备</w:t>
      </w:r>
      <w:r>
        <w:rPr>
          <w:rFonts w:hint="eastAsia" w:ascii="Times New Roman" w:hAnsi="Times New Roman" w:eastAsia="仿宋_GB2312" w:cs="仿宋_GB2312"/>
          <w:sz w:val="32"/>
          <w:lang w:val="en-US" w:eastAsia="zh-CN"/>
        </w:rPr>
        <w:t>一定的资金保障，确保最终入选后能够按相关要求完成建设任务，场景建设周期原则上不超过1年。</w:t>
      </w:r>
    </w:p>
    <w:p w14:paraId="4E3C47E4">
      <w:pPr>
        <w:keepNext w:val="0"/>
        <w:keepLines w:val="0"/>
        <w:pageBreakBefore w:val="0"/>
        <w:widowControl w:val="0"/>
        <w:kinsoku/>
        <w:wordWrap/>
        <w:overflowPunct w:val="0"/>
        <w:topLinePunct w:val="0"/>
        <w:autoSpaceDE/>
        <w:autoSpaceDN/>
        <w:bidi w:val="0"/>
        <w:adjustRightInd w:val="0"/>
        <w:snapToGrid w:val="0"/>
        <w:spacing w:before="0" w:line="560" w:lineRule="exact"/>
        <w:ind w:left="0" w:right="0" w:firstLine="0" w:firstLineChars="0"/>
        <w:jc w:val="both"/>
        <w:textAlignment w:val="baseline"/>
        <w:rPr>
          <w:rFonts w:hint="eastAsia" w:ascii="Times New Roman" w:hAnsi="Times New Roman" w:eastAsia="仿宋_GB2312" w:cs="仿宋_GB2312"/>
          <w:b w:val="0"/>
          <w:bCs w:val="0"/>
          <w:snapToGrid w:val="0"/>
          <w:color w:val="000000"/>
          <w:spacing w:val="0"/>
          <w:kern w:val="0"/>
          <w:sz w:val="32"/>
          <w:szCs w:val="32"/>
          <w:lang w:val="en-US" w:eastAsia="zh-CN" w:bidi="ar-SA"/>
        </w:rPr>
      </w:pPr>
    </w:p>
    <w:sectPr>
      <w:footerReference r:id="rId5" w:type="default"/>
      <w:pgSz w:w="11906" w:h="16838"/>
      <w:pgMar w:top="2098" w:right="1474" w:bottom="1984" w:left="1587" w:header="851" w:footer="1417"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altName w:val="Droid Sans Fallback"/>
    <w:panose1 w:val="02010600030101010101"/>
    <w:charset w:val="80"/>
    <w:family w:val="auto"/>
    <w:pitch w:val="default"/>
    <w:sig w:usb0="00000000" w:usb1="0000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仿宋_GB2312">
    <w:panose1 w:val="02010609030101010101"/>
    <w:charset w:val="86"/>
    <w:family w:val="auto"/>
    <w:pitch w:val="default"/>
    <w:sig w:usb0="00000001" w:usb1="080E0000" w:usb2="00000000" w:usb3="00000000" w:csb0="00040000" w:csb1="00000000"/>
  </w:font>
  <w:font w:name="仿宋">
    <w:altName w:val="仿宋_GB2312"/>
    <w:panose1 w:val="02010609060101010101"/>
    <w:charset w:val="86"/>
    <w:family w:val="auto"/>
    <w:pitch w:val="default"/>
    <w:sig w:usb0="00000000" w:usb1="00000000"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9F79A">
    <w:pPr>
      <w:pStyle w:val="5"/>
      <w:keepNext w:val="0"/>
      <w:keepLines w:val="0"/>
      <w:pageBreakBefore w:val="0"/>
      <w:widowControl w:val="0"/>
      <w:kinsoku/>
      <w:wordWrap/>
      <w:overflowPunct/>
      <w:topLinePunct w:val="0"/>
      <w:bidi w:val="0"/>
      <w:adjustRightInd w:val="0"/>
      <w:snapToGrid w:val="0"/>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433E04">
                          <w:pPr>
                            <w:pStyle w:val="5"/>
                            <w:keepNext w:val="0"/>
                            <w:keepLines w:val="0"/>
                            <w:pageBreakBefore w:val="0"/>
                            <w:widowControl w:val="0"/>
                            <w:kinsoku/>
                            <w:wordWrap/>
                            <w:overflowPunct/>
                            <w:topLinePunct w:val="0"/>
                            <w:bidi w:val="0"/>
                            <w:adjustRightInd w:val="0"/>
                            <w:snapToGrid w:val="0"/>
                            <w:spacing w:line="240" w:lineRule="auto"/>
                            <w:ind w:left="320" w:leftChars="100" w:right="320" w:rightChars="10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5433E04">
                    <w:pPr>
                      <w:pStyle w:val="5"/>
                      <w:keepNext w:val="0"/>
                      <w:keepLines w:val="0"/>
                      <w:pageBreakBefore w:val="0"/>
                      <w:widowControl w:val="0"/>
                      <w:kinsoku/>
                      <w:wordWrap/>
                      <w:overflowPunct/>
                      <w:topLinePunct w:val="0"/>
                      <w:bidi w:val="0"/>
                      <w:adjustRightInd w:val="0"/>
                      <w:snapToGrid w:val="0"/>
                      <w:spacing w:line="240" w:lineRule="auto"/>
                      <w:ind w:left="320" w:leftChars="100" w:right="320" w:rightChars="10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64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4E75E0"/>
    <w:rsid w:val="06E85B48"/>
    <w:rsid w:val="071C6236"/>
    <w:rsid w:val="0DEB5944"/>
    <w:rsid w:val="123240B1"/>
    <w:rsid w:val="16AE28C5"/>
    <w:rsid w:val="1F2554B9"/>
    <w:rsid w:val="1F7A0144"/>
    <w:rsid w:val="1FB95442"/>
    <w:rsid w:val="2A1C0507"/>
    <w:rsid w:val="2B0F6376"/>
    <w:rsid w:val="2EE47B19"/>
    <w:rsid w:val="2F95299C"/>
    <w:rsid w:val="32513718"/>
    <w:rsid w:val="327D450D"/>
    <w:rsid w:val="3309693A"/>
    <w:rsid w:val="342F7A89"/>
    <w:rsid w:val="35DE3514"/>
    <w:rsid w:val="3ED76BF4"/>
    <w:rsid w:val="3EFDA423"/>
    <w:rsid w:val="3F2C3542"/>
    <w:rsid w:val="470904F4"/>
    <w:rsid w:val="48A979B2"/>
    <w:rsid w:val="4ACE1952"/>
    <w:rsid w:val="4B484068"/>
    <w:rsid w:val="4C883D82"/>
    <w:rsid w:val="4F7FCC54"/>
    <w:rsid w:val="527E1EAF"/>
    <w:rsid w:val="56867584"/>
    <w:rsid w:val="57C64F03"/>
    <w:rsid w:val="59C97EB4"/>
    <w:rsid w:val="5BD86B7B"/>
    <w:rsid w:val="5BFE08A0"/>
    <w:rsid w:val="5DE132F2"/>
    <w:rsid w:val="5EB804F7"/>
    <w:rsid w:val="60536729"/>
    <w:rsid w:val="62564D29"/>
    <w:rsid w:val="63224191"/>
    <w:rsid w:val="63624ED5"/>
    <w:rsid w:val="6376430E"/>
    <w:rsid w:val="64375E82"/>
    <w:rsid w:val="650A312E"/>
    <w:rsid w:val="68555008"/>
    <w:rsid w:val="6D9914F3"/>
    <w:rsid w:val="6FFD82B9"/>
    <w:rsid w:val="71185C5A"/>
    <w:rsid w:val="71F96A05"/>
    <w:rsid w:val="74252B9A"/>
    <w:rsid w:val="75D52A62"/>
    <w:rsid w:val="75D94B83"/>
    <w:rsid w:val="772067E2"/>
    <w:rsid w:val="77555340"/>
    <w:rsid w:val="777F9C4A"/>
    <w:rsid w:val="77F1EAD1"/>
    <w:rsid w:val="77FF4AE1"/>
    <w:rsid w:val="7ADB139D"/>
    <w:rsid w:val="7AFFBCBF"/>
    <w:rsid w:val="7DDA00B4"/>
    <w:rsid w:val="7DE44A0D"/>
    <w:rsid w:val="7E2C3CBE"/>
    <w:rsid w:val="7FEB8670"/>
    <w:rsid w:val="BAFE5464"/>
    <w:rsid w:val="C76FA010"/>
    <w:rsid w:val="CDFFC60A"/>
    <w:rsid w:val="DB9D45C4"/>
    <w:rsid w:val="F8FE6AFD"/>
    <w:rsid w:val="FAC7FF9D"/>
    <w:rsid w:val="FBCB3F75"/>
    <w:rsid w:val="FF4B0458"/>
    <w:rsid w:val="FFF1B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600" w:lineRule="exact"/>
      <w:ind w:firstLine="883" w:firstLineChars="20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widowControl/>
      <w:spacing w:after="50" w:afterLines="50" w:line="360" w:lineRule="auto"/>
      <w:ind w:firstLine="200" w:firstLineChars="200"/>
      <w:jc w:val="left"/>
    </w:pPr>
    <w:rPr>
      <w:kern w:val="0"/>
      <w:szCs w:val="20"/>
    </w:rPr>
  </w:style>
  <w:style w:type="paragraph" w:styleId="3">
    <w:name w:val="annotation text"/>
    <w:basedOn w:val="1"/>
    <w:qFormat/>
    <w:uiPriority w:val="0"/>
    <w:pPr>
      <w:jc w:val="left"/>
    </w:pPr>
  </w:style>
  <w:style w:type="paragraph" w:styleId="4">
    <w:name w:val="Body Text"/>
    <w:basedOn w:val="1"/>
    <w:semiHidden/>
    <w:qFormat/>
    <w:uiPriority w:val="0"/>
    <w:rPr>
      <w:rFonts w:ascii="仿宋" w:hAnsi="仿宋" w:eastAsia="仿宋" w:cs="仿宋"/>
      <w:sz w:val="29"/>
      <w:szCs w:val="29"/>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paragraph" w:customStyle="1" w:styleId="11">
    <w:name w:val="Table Text"/>
    <w:basedOn w:val="1"/>
    <w:semiHidden/>
    <w:qFormat/>
    <w:uiPriority w:val="0"/>
    <w:rPr>
      <w:rFonts w:ascii="宋体" w:hAnsi="宋体" w:eastAsia="宋体" w:cs="宋体"/>
      <w:sz w:val="21"/>
      <w:szCs w:val="21"/>
      <w:lang w:val="en-US" w:eastAsia="en-US" w:bidi="ar-SA"/>
    </w:rPr>
  </w:style>
  <w:style w:type="table" w:customStyle="1" w:styleId="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3023</Words>
  <Characters>3067</Characters>
  <Lines>0</Lines>
  <Paragraphs>0</Paragraphs>
  <TotalTime>6</TotalTime>
  <ScaleCrop>false</ScaleCrop>
  <LinksUpToDate>false</LinksUpToDate>
  <CharactersWithSpaces>3352</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2025-03-24T10:01:00Z</dcterms:created>
  <dc:creator>Jun</dc:creator>
  <cp:lastModifiedBy>钱怡静</cp:lastModifiedBy>
  <cp:lastPrinted>2026-09-11T15:32:59Z</cp:lastPrinted>
  <dcterms:modified xsi:type="dcterms:W3CDTF">2026-09-11T15:33:07Z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944EE791135C4F6D9E39A35EC09AA21C_13</vt:lpwstr>
  </property>
  <property fmtid="{D5CDD505-2E9C-101B-9397-08002B2CF9AE}" pid="4" name="KSOTemplateDocerSaveRecord">
    <vt:lpwstr>eyJoZGlkIjoiYWYzNGM5MzU0ODQ4NTQ1YWZkZDRhN2JlNDY3MTUxN2YiLCJ1c2VySWQiOiIxOTcwNjgwMDAifQ==</vt:lpwstr>
  </property>
  <property fmtid="{D5CDD505-2E9C-101B-9397-08002B2CF9AE}" pid="5" name="showFlag">
    <vt:bool>true</vt:bool>
  </property>
</Properties>
</file>